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ae1cf4d9834a95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10942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VIDIKOVAC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2.406.981,23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2.622.888,01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2.376.306,96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2.781.895,50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159.007,49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262,92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43.856,35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36.227,62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43.593,43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36.227,62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83,1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12.919,16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195.235,11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1511,2</w:t>
            </w:r>
          </w:p>
        </w:tc>
      </w:tr>
    </w:tbl>
    <w:p>
      <w:pPr>
        <w:spacing w:before="0" w:after="0"/>
      </w:pPr>
    </w:p>
    <w:p>
      <w:r>
        <w:t xml:space="preserve">U 2025. godini ostvaren je manjak prihoda poslovanja od 159.007,49 eur. To je metodološki manjak koji je nastao iz razloga ukidanja knjiženja kontinuiranih rashoda budućih razdoblja (193) te knjiženja rashoda za plaće i materijalna prava za 12/25.   Manjak prihoda od nefinanacijske imovine iznosi 36.227,62 eur iz razloga što škola nije ostvarila prihode od nefinancijske imovine te je rashod jednak manjku. Gledajući ukupne prihode i rashode manjak prihoda i primitaka iznosi 195.235,11 eur. S obzirom da višak iz prethodne godine iznosi 3.785,81 eur (922110) , manjak prihoda i primitaka za pokriće u sljedećem razdoblju iznosi 191.449,30 eur (šifra Y006).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4.260,00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6.430,00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150,9</w:t>
            </w:r>
          </w:p>
        </w:tc>
      </w:tr>
    </w:tbl>
    <w:p>
      <w:pPr>
        <w:spacing w:before="0" w:after="0"/>
      </w:pPr>
    </w:p>
    <w:p>
      <w:r>
        <w:t xml:space="preserve">Prihodi od najma dvorane su povećani u odnosu na prošlu godinu jer je veća potražnja za korištenjem iste. Ove godine imamo 10 najmoprimca, dok je prošle godine bilo njih 7.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(bruto) (šifre 3111 do 3114)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1.683.022,49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2.018.857,93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120,0</w:t>
            </w:r>
          </w:p>
        </w:tc>
      </w:tr>
    </w:tbl>
    <w:p>
      <w:pPr>
        <w:spacing w:before="0" w:after="0"/>
      </w:pPr>
    </w:p>
    <w:p>
      <w:r>
        <w:t xml:space="preserve">U toku godine došlo je do povećanja osnovice plaće u dva navrata za 3 %. Iz tog razloga svi troškovi za plaće su povećani.</w:t>
      </w:r>
    </w:p>
    <w:p>
      <w:r>
        <w:t xml:space="preserve">U siječnju je osnovica iznosila 947,18 € bruto. Od veljače do kolovoza iznosila je 975,60 € bruto. Od rujna iznosi 1.004,87 € bruto.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79.047,58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76.308,59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96,5</w:t>
            </w:r>
          </w:p>
        </w:tc>
      </w:tr>
    </w:tbl>
    <w:p>
      <w:pPr>
        <w:spacing w:before="0" w:after="0"/>
      </w:pPr>
    </w:p>
    <w:p>
      <w:r>
        <w:t xml:space="preserve">U 2024. godini je 3 zaposlenika otišlo u mirovinu te su za njih isplaćene otpremnine što je ukupno iznosilo otprilike 6.900 eur, dok je ove godine taj trošak izostao. Rashodi za božićnice, regrese i darove za djecu su otprilike u istom iznosu kao i prošle godine.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2.008,63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446,4</w:t>
            </w:r>
          </w:p>
        </w:tc>
      </w:tr>
    </w:tbl>
    <w:p>
      <w:pPr>
        <w:spacing w:before="0" w:after="0"/>
      </w:pPr>
    </w:p>
    <w:p>
      <w:r>
        <w:t xml:space="preserve">Najveći udio troška odnosi se na tečaj za rad na siguran način koji je provelo poduzeće Elkron za veći broj naših djelatnika.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Uredski materijal i ostali materijalni rashodi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34.007,45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28.563,69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84,0</w:t>
            </w:r>
          </w:p>
        </w:tc>
      </w:tr>
    </w:tbl>
    <w:p>
      <w:pPr>
        <w:spacing w:before="0" w:after="0"/>
      </w:pPr>
    </w:p>
    <w:p>
      <w:r>
        <w:t xml:space="preserve">Trošak za uredski materijal, materijal za čišćenje i ostali materijal je manji u odnosu na prošlu godinu jer nismo imali veću nabavku krajem godine koju obično radimo zbog viška sredstava.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dijelovi za tekuće i investicijsko održavanje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1.861,30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3.051,17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163,9</w:t>
            </w:r>
          </w:p>
        </w:tc>
      </w:tr>
    </w:tbl>
    <w:p>
      <w:pPr>
        <w:spacing w:before="0" w:after="0"/>
      </w:pPr>
    </w:p>
    <w:p>
      <w:r>
        <w:t xml:space="preserve">Veći je trošak za razni materijal i djelove za popravke u odnosu na prošlu godinu. S druge strane usluge tekućeg i investicijskog održavanja su smanjene.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21.685,31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11.123,87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51,3</w:t>
            </w:r>
          </w:p>
        </w:tc>
      </w:tr>
    </w:tbl>
    <w:p>
      <w:pPr>
        <w:spacing w:before="0" w:after="0"/>
      </w:pPr>
    </w:p>
    <w:p>
      <w:r>
        <w:t xml:space="preserve">Iako je bilo više utrošenog materijala za popravke, usluga koji se odnose na održavanje bilo je manje u odnosu na prošlu godinu. Ove godine imali smo: servis ulaznih vrata, popravak žaluzine, zamjena ogledala, sanacija zidova u dvorani, servisi fotokopirnih uređaja i printera, plamenika, klima uređaja, senzora, vatrogasnih aparata, dizala, popravak perilice, kotla, hladnjaka, zamjena senzora protuprovale te radove na elektroinstalacijama.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10.264,46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13.148,65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128,1</w:t>
            </w:r>
          </w:p>
        </w:tc>
      </w:tr>
    </w:tbl>
    <w:p>
      <w:pPr>
        <w:spacing w:before="0" w:after="0"/>
      </w:pPr>
    </w:p>
    <w:p>
      <w:r>
        <w:t xml:space="preserve">Usluge koje koristimo su iste u odnosu na prošlu godinu, no cijene su rasle. Jedina razlika je što smo ove godine angažirali Herculaneu za uređenje okoliša i zbrinjavanje otpada. Sve ostale usluge (voda, odvoz smeća, deratizacija i dezinsekcija i komunalna naknada) su jednake.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Zakupnine i najamnine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1.629,21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773,97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47,5</w:t>
            </w:r>
          </w:p>
        </w:tc>
      </w:tr>
    </w:tbl>
    <w:p>
      <w:pPr>
        <w:spacing w:before="0" w:after="0"/>
      </w:pPr>
    </w:p>
    <w:p>
      <w:r>
        <w:t xml:space="preserve">Ove godine nismo imali potrebe za najmom prostora za obilježavanje godišnjica škole ili slično, što je bio slučaj u 2024. godini. Trošak se odnosi isključivo na najam aparata za vodu.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785,14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2.001,16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254,9</w:t>
            </w:r>
          </w:p>
        </w:tc>
      </w:tr>
    </w:tbl>
    <w:p>
      <w:pPr>
        <w:spacing w:before="0" w:after="0"/>
      </w:pPr>
    </w:p>
    <w:p>
      <w:r>
        <w:t xml:space="preserve">Ove godine smo imali isplate puno većeg broja ugovora o djelu. Vezano je za događaj za koji je bilo potrebno angažirati vanjski stručni tim tzv. kriznu intervenciju.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rad predstavničkih i izvršnih tijela, povjerenstava i slično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356,67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412,1</w:t>
            </w:r>
          </w:p>
        </w:tc>
      </w:tr>
    </w:tbl>
    <w:p>
      <w:pPr>
        <w:spacing w:before="0" w:after="0"/>
      </w:pPr>
    </w:p>
    <w:p>
      <w:r>
        <w:t xml:space="preserve">Odnosi se na naknade za članove povjerenstva na županijskom natjecanju iz biologije iz drugih škola te malim djelom na isplatu svojim zaposlenicima za natjecanja u drugim školama.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Premije osiguranja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5.810,39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9.205,25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158,4</w:t>
            </w:r>
          </w:p>
        </w:tc>
      </w:tr>
    </w:tbl>
    <w:p>
      <w:pPr>
        <w:spacing w:before="0" w:after="0"/>
      </w:pPr>
    </w:p>
    <w:p>
      <w:r>
        <w:t xml:space="preserve">Trošak za osguranje je veći iz razloga što se ove godine za osiguranje djece prihvatila ponuda Uniqa osiguranja čiji je uvjet bio ispostavljanje jedne fakture na školu, a ne pojedinačno za svako dijete.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Reprezentacija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1.761,74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747,06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42,4</w:t>
            </w:r>
          </w:p>
        </w:tc>
      </w:tr>
    </w:tbl>
    <w:p>
      <w:pPr>
        <w:spacing w:before="0" w:after="0"/>
      </w:pPr>
    </w:p>
    <w:p>
      <w:r>
        <w:t xml:space="preserve">U ovoj godini nije bilo potrebe za većim čašćenjem i ugošćivanjem (kao što je prošle godine bilo obilježavanje obljetnica škole i škole pri bolnici. ) te je stoga trošak isključivo zbog gosta Mađara koji su boravili u našoj školi te minimalni trošak za kavu i piće za sjednice županijskog stručnog vijeća i školskog odbora.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5.657,24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2.984,39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52,8</w:t>
            </w:r>
          </w:p>
        </w:tc>
      </w:tr>
    </w:tbl>
    <w:p>
      <w:pPr>
        <w:spacing w:before="0" w:after="0"/>
      </w:pPr>
    </w:p>
    <w:p>
      <w:r>
        <w:t xml:space="preserve">Prošle godine su nabavljene vrte gredice i ostali potrošni materijal za vrt što je bio velik trošak, dok to ove godine nije slučaj. Trošak čine ulaznice, kotizacije, vjenci i sl.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u naravi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20.061,97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24.536,83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122,3</w:t>
            </w:r>
          </w:p>
        </w:tc>
      </w:tr>
    </w:tbl>
    <w:p>
      <w:pPr>
        <w:spacing w:before="0" w:after="0"/>
      </w:pPr>
    </w:p>
    <w:p>
      <w:r>
        <w:t xml:space="preserve">U glavnini se odnosi na trošak za šk.udžbenike - radne udžbenike. U odnosu na prošlu godinu cijena je veća. Ostatak se odnosi na trošak aranžmana izvanučioničke nastave za djecu raseljenih Ukrajinaca. Aranžmani su skuplji i sadržajniji.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 u naravi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1.045,00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1.307,89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125,2</w:t>
            </w:r>
          </w:p>
        </w:tc>
      </w:tr>
    </w:tbl>
    <w:p>
      <w:pPr>
        <w:spacing w:before="0" w:after="0"/>
      </w:pPr>
    </w:p>
    <w:p>
      <w:r>
        <w:t xml:space="preserve">Odnosi se na trošak za mentrualne potrepštine. Novac je na temelju broja djevojčica doznačen školi od strane državnog proračuna.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Stambeni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262,92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Izostali su prihodi jer je preostali stan u vlasništvu škole (do konačnog otkupa) prošle godine otplaćen u cjelosti.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Komunikacijska oprema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2.746,43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U 2024. godini nabavljena je oprema za ozvučenje škole, dok ove godine nije bilo potrebe za komunikacijskom opremom.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Oprema za održavanje i zaštitu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2.838,13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6.036,34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212,7</w:t>
            </w:r>
          </w:p>
        </w:tc>
      </w:tr>
    </w:tbl>
    <w:p>
      <w:pPr>
        <w:spacing w:before="0" w:after="0"/>
      </w:pPr>
    </w:p>
    <w:p>
      <w:r>
        <w:t xml:space="preserve">Ove godine nabavljeno je 3 klima uređaja i automatska rampa za parkiralište. Prošle godine nije bilo značajne nabavke opreme za održavanje i zaštitu.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2.600,50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3.146,40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121,0</w:t>
            </w:r>
          </w:p>
        </w:tc>
      </w:tr>
    </w:tbl>
    <w:p>
      <w:pPr>
        <w:spacing w:before="0" w:after="0"/>
      </w:pPr>
    </w:p>
    <w:p>
      <w:r>
        <w:t xml:space="preserve">Zbog kvara stare kosilice i skupog popravka, odlučili smo se za nabavku nove traktorske kosilice.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Knjige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16.689,49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11.756,57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70,4</w:t>
            </w:r>
          </w:p>
        </w:tc>
      </w:tr>
    </w:tbl>
    <w:p>
      <w:pPr>
        <w:spacing w:before="0" w:after="0"/>
      </w:pPr>
    </w:p>
    <w:p>
      <w:r>
        <w:t xml:space="preserve">Knjižnična građa je nabavljena u otprilike istom iznosu, no razlika je u nabavci školskih udžbenika koji se prenose drugim generacijama. Ove godine je bilo nešto manje potrebe za njima, a više potrebe za radnim udžbenicima.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UKUPAN MANJAK PRIHODA (šifre Y034-X067)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12.919,16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195.235,11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1511,2</w:t>
            </w:r>
          </w:p>
        </w:tc>
      </w:tr>
    </w:tbl>
    <w:p>
      <w:pPr>
        <w:spacing w:before="0" w:after="0"/>
      </w:pPr>
    </w:p>
    <w:p>
      <w:r>
        <w:t xml:space="preserve">Radi se o metodološkom manjku. Manjak prihoda je posljedica priznavanja troška plaće za 12/25 godine, dok se prihod priznaje u sljedećem izvještajnom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12.919,16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195.235,11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1511,2</w:t>
            </w:r>
          </w:p>
        </w:tc>
      </w:tr>
    </w:tbl>
    <w:p>
      <w:pPr>
        <w:spacing w:before="0" w:after="0"/>
      </w:pPr>
    </w:p>
    <w:p>
      <w:r>
        <w:t xml:space="preserve">Radi se o metodološkom manjku zbog rashoda za plaće za 12.2025.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11-dugov.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priljevi na novčane račune i blagajne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11-dugov.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16.511,84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1.721,51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10,4</w:t>
            </w:r>
          </w:p>
        </w:tc>
      </w:tr>
    </w:tbl>
    <w:p>
      <w:pPr>
        <w:spacing w:before="0" w:after="0"/>
      </w:pPr>
    </w:p>
    <w:p>
      <w:r>
        <w:t xml:space="preserve">U toku godine škola je prestala koristiti blagajnu te je stoga iskazan promet blagajne za 4 mjeseca.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iz državnog proračuna proračunskim korisnicima proračuna JLP(R)S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15.630,57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10.960,90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70,1</w:t>
            </w:r>
          </w:p>
        </w:tc>
      </w:tr>
    </w:tbl>
    <w:p>
      <w:pPr>
        <w:spacing w:before="0" w:after="0"/>
      </w:pPr>
    </w:p>
    <w:p>
      <w:r>
        <w:t xml:space="preserve">Kapitalne pomoći iz državnog proračuna odnose se na prihod namjenjen za šk.udžbenike koji se prenose iz godine u godinu. Ove godine je bilo više potrebe za radenim udžbenicima te je stoga ovaj prihod manji.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građevinski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13.373,42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29.835,92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223,1</w:t>
            </w:r>
          </w:p>
        </w:tc>
      </w:tr>
    </w:tbl>
    <w:p>
      <w:pPr>
        <w:spacing w:before="0" w:after="0"/>
      </w:pPr>
    </w:p>
    <w:p>
      <w:r>
        <w:t xml:space="preserve">Povećala se vrijednost vanjskog prostora-dvorišta zbog postavljanja vanjske rasvjete u iznosu od 16.462,50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potraživanja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3.039,88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6.294,86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207,1</w:t>
            </w:r>
          </w:p>
        </w:tc>
      </w:tr>
    </w:tbl>
    <w:p>
      <w:pPr>
        <w:spacing w:before="0" w:after="0"/>
      </w:pPr>
    </w:p>
    <w:p>
      <w:r>
        <w:t xml:space="preserve">Povećani iznos bolovanja na teret HZZO-a u zadnjih 2-3 mjeseca za koje nije stigla refundacija.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iz inozemstva i od subjekata unutar općeg proračuna (šifre 1631 do 1638)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657,00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168.606,54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Od 01.01.2025. imamo obvezu knjižiti sva potraživanja za pomoći od nenadležnih proračuna te je stoga ostalo otvoreno potraživanje od državnog proračuna za plaće i materijalna prava za 12/25.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upravne i administrativne pristojbe, pristojbe po posebnim propisima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24.518,52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19.910,65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81,2</w:t>
            </w:r>
          </w:p>
        </w:tc>
      </w:tr>
    </w:tbl>
    <w:p>
      <w:pPr>
        <w:spacing w:before="0" w:after="0"/>
      </w:pPr>
    </w:p>
    <w:p>
      <w:r>
        <w:t xml:space="preserve">Naplata potrživanja je uspješnija u odnosu na prošlu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od prodaje proizvoda i robe te pruženih usluga i za povrat po protestiranim jamstvima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1.820,16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3.090,16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169,8</w:t>
            </w:r>
          </w:p>
        </w:tc>
      </w:tr>
    </w:tbl>
    <w:p>
      <w:pPr>
        <w:spacing w:before="0" w:after="0"/>
      </w:pPr>
    </w:p>
    <w:p>
      <w:r>
        <w:t xml:space="preserve">Više potraživanja za najam dvorane zbog većeg broja korisnika.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Ispravak vrijednosti potraživanja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11.266,98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9.028,87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80,1</w:t>
            </w:r>
          </w:p>
        </w:tc>
      </w:tr>
    </w:tbl>
    <w:p>
      <w:pPr>
        <w:spacing w:before="0" w:after="0"/>
      </w:pPr>
    </w:p>
    <w:p>
      <w:r>
        <w:t xml:space="preserve">Neki dužnici za koje je pokrenut prijedlog za ovrhu sami su odlučili platiti dug.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nabavu nefinancijske imovine (šifre 241 do 245)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8.231,25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14.540,29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176,6</w:t>
            </w:r>
          </w:p>
        </w:tc>
      </w:tr>
    </w:tbl>
    <w:p>
      <w:pPr>
        <w:spacing w:before="0" w:after="0"/>
      </w:pPr>
    </w:p>
    <w:p>
      <w:r>
        <w:t xml:space="preserve">Krajem 2025. godine knjižene su i poslane na plaćanje fakture za šk.udžbenike i računala.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3.039,88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4.191,44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137,9</w:t>
            </w:r>
          </w:p>
        </w:tc>
      </w:tr>
    </w:tbl>
    <w:p>
      <w:pPr>
        <w:spacing w:before="0" w:after="0"/>
      </w:pPr>
    </w:p>
    <w:p>
      <w:r>
        <w:t xml:space="preserve">Veći iznos bolovanja preko HZZO-a.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- nedospjela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16 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41.857,61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228.224,91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545,2</w:t>
            </w:r>
          </w:p>
        </w:tc>
      </w:tr>
    </w:tbl>
    <w:p>
      <w:pPr>
        <w:spacing w:before="0" w:after="0"/>
      </w:pPr>
    </w:p>
    <w:p>
      <w:r>
        <w:t xml:space="preserve">Razlika se odnosi na plaće za 12.mjesec.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 - dospjele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23 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2.385,78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24.049,83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1008,0</w:t>
            </w:r>
          </w:p>
        </w:tc>
      </w:tr>
    </w:tbl>
    <w:p>
      <w:pPr>
        <w:spacing w:before="0" w:after="0"/>
      </w:pPr>
    </w:p>
    <w:p>
      <w:r>
        <w:t xml:space="preserve">Fakture za udžbenike su poslane na plaćanje tek u trenutku uplate sredstava iz državnog proračuna. Nije se uspjelo ispoštovati dospijeće plaćanja zbog nedostatka sredstava.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nabavu nefinancijske imovine - dospjele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24 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8.231,25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14.540,29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176,6</w:t>
            </w:r>
          </w:p>
        </w:tc>
      </w:tr>
    </w:tbl>
    <w:p>
      <w:pPr>
        <w:spacing w:before="0" w:after="0"/>
      </w:pPr>
    </w:p>
    <w:p>
      <w:r>
        <w:t xml:space="preserve">Odnosi se na dio faktura za šk.udžbenike koji su dospjeli i knjiženi na 424110 te na računala- 422110.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84.197,23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 1. siječnja 2025. godine ispravak vrijednosti dugotrajne nefinancijske imovine uz terećenje vlastitih izvora, provodi se i preko promjena u obujmu imovine. Iz tog razloga iznos amortizacije knjižen je i na 91511.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43.671,83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Odnosi se na povećanje obujma imovine zbog knjiženja vrijednosti investicija koju prenosi nadležni proračun (Grad Pula) na školu, i to: namještaj za knjižnicu, vanjska rasvjeta, toplovodni kotao te kamere u dvorištu.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38.590,12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Radi se o 6 računa od kojih se njih 5 odnosi na šk.udžbenike. Naime, uplatu iz državnog proračuna za potrebe plaćanja šk.udžbenika u iznosu od 33.356,98 eur zaprimili smo dana 24.12.2025. dok su računi imali dospijeće u razdoblju od 22.10. do 03.11. Sredstva nisu bila osigurana na vrijeme. Također, postoji račun kojem je dospjelo plaćanje iz razloga što je datum dospijeća bio jednak datumu računa i nije postojala mogućnost da se isti dan plati, već je isplata išla u 2026.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Međusobne obveze subjekata općeg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4.351,69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Odnosi se na obveze za bolovanje preko HZZO-a (276120) te na obvezu plaćanja računa Zavoda za javno zdravstvo IŽ u iznosu od 160,25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202.724,79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Odnose se na obveze za račune koji nisu dospjeli, u ukupnom iznosu od 4.450,23 eur te na ukupne obveze za plaće i naknade za zaposlene za 12/25.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4d392170c5543e4" /></Relationships>
</file>